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3493" w14:textId="2740D4FA" w:rsidR="00CE4EA5" w:rsidRDefault="00CE4EA5"/>
    <w:p w14:paraId="60474D31" w14:textId="77777777" w:rsidR="00210CC9" w:rsidRPr="00210CC9" w:rsidRDefault="00210CC9" w:rsidP="00210CC9">
      <w:pPr>
        <w:rPr>
          <w:rFonts w:ascii="Times New Roman" w:eastAsia="Calibri" w:hAnsi="Times New Roman" w:cs="Times New Roman"/>
          <w:sz w:val="24"/>
          <w:szCs w:val="24"/>
        </w:rPr>
      </w:pPr>
      <w:r w:rsidRPr="00210CC9">
        <w:rPr>
          <w:rFonts w:ascii="Times New Roman" w:eastAsia="Calibri" w:hAnsi="Times New Roman" w:cs="Times New Roman"/>
          <w:sz w:val="24"/>
          <w:szCs w:val="24"/>
        </w:rPr>
        <w:t>To:</w:t>
      </w:r>
      <w:r w:rsidRPr="00210CC9">
        <w:rPr>
          <w:rFonts w:ascii="Times New Roman" w:eastAsia="Calibri" w:hAnsi="Times New Roman" w:cs="Times New Roman"/>
          <w:sz w:val="24"/>
          <w:szCs w:val="24"/>
        </w:rPr>
        <w:tab/>
        <w:t>CLASS Chairs/Directors</w:t>
      </w:r>
    </w:p>
    <w:p w14:paraId="2A694012" w14:textId="77777777" w:rsidR="00210CC9" w:rsidRPr="00210CC9" w:rsidRDefault="00210CC9" w:rsidP="00210CC9">
      <w:pPr>
        <w:rPr>
          <w:rFonts w:ascii="Times New Roman" w:eastAsia="Calibri" w:hAnsi="Times New Roman" w:cs="Times New Roman"/>
          <w:sz w:val="24"/>
          <w:szCs w:val="24"/>
        </w:rPr>
      </w:pPr>
      <w:r w:rsidRPr="00210CC9">
        <w:rPr>
          <w:rFonts w:ascii="Times New Roman" w:eastAsia="Calibri" w:hAnsi="Times New Roman" w:cs="Times New Roman"/>
          <w:sz w:val="24"/>
          <w:szCs w:val="24"/>
        </w:rPr>
        <w:t xml:space="preserve">From: </w:t>
      </w:r>
      <w:r w:rsidRPr="00210CC9">
        <w:rPr>
          <w:rFonts w:ascii="Times New Roman" w:eastAsia="Calibri" w:hAnsi="Times New Roman" w:cs="Times New Roman"/>
          <w:sz w:val="24"/>
          <w:szCs w:val="24"/>
        </w:rPr>
        <w:tab/>
        <w:t>Dr. Daniel P. O’Connor, Dean</w:t>
      </w:r>
    </w:p>
    <w:p w14:paraId="22CBC244" w14:textId="77777777" w:rsidR="00210CC9" w:rsidRPr="00210CC9" w:rsidRDefault="00210CC9" w:rsidP="00210CC9">
      <w:pPr>
        <w:rPr>
          <w:rFonts w:ascii="Times New Roman" w:eastAsia="Calibri" w:hAnsi="Times New Roman" w:cs="Times New Roman"/>
          <w:sz w:val="24"/>
          <w:szCs w:val="24"/>
        </w:rPr>
      </w:pPr>
      <w:r w:rsidRPr="00210CC9">
        <w:rPr>
          <w:rFonts w:ascii="Times New Roman" w:eastAsia="Calibri" w:hAnsi="Times New Roman" w:cs="Times New Roman"/>
          <w:sz w:val="24"/>
          <w:szCs w:val="24"/>
        </w:rPr>
        <w:t>Date:</w:t>
      </w:r>
      <w:r w:rsidRPr="00210CC9">
        <w:rPr>
          <w:rFonts w:ascii="Times New Roman" w:eastAsia="Calibri" w:hAnsi="Times New Roman" w:cs="Times New Roman"/>
          <w:sz w:val="24"/>
          <w:szCs w:val="24"/>
        </w:rPr>
        <w:tab/>
        <w:t>December 15, 2021</w:t>
      </w:r>
    </w:p>
    <w:p w14:paraId="7DE8685E" w14:textId="77777777" w:rsidR="00210CC9" w:rsidRPr="00210CC9" w:rsidRDefault="00210CC9" w:rsidP="00210CC9">
      <w:pPr>
        <w:rPr>
          <w:rFonts w:ascii="Times New Roman" w:eastAsia="Calibri" w:hAnsi="Times New Roman" w:cs="Times New Roman"/>
          <w:sz w:val="24"/>
          <w:szCs w:val="24"/>
        </w:rPr>
      </w:pPr>
      <w:r w:rsidRPr="00210CC9">
        <w:rPr>
          <w:rFonts w:ascii="Times New Roman" w:eastAsia="Calibri" w:hAnsi="Times New Roman" w:cs="Times New Roman"/>
          <w:sz w:val="24"/>
          <w:szCs w:val="24"/>
        </w:rPr>
        <w:t>RE:</w:t>
      </w:r>
      <w:r w:rsidRPr="00210CC9">
        <w:rPr>
          <w:rFonts w:ascii="Times New Roman" w:eastAsia="Calibri" w:hAnsi="Times New Roman" w:cs="Times New Roman"/>
          <w:sz w:val="24"/>
          <w:szCs w:val="24"/>
        </w:rPr>
        <w:tab/>
        <w:t>Sponsored Research Course Buy-Out Policy</w:t>
      </w:r>
    </w:p>
    <w:p w14:paraId="57F8CACB" w14:textId="77777777" w:rsidR="00210CC9" w:rsidRPr="00210CC9" w:rsidRDefault="00210CC9" w:rsidP="00210CC9">
      <w:pPr>
        <w:rPr>
          <w:rFonts w:ascii="Times New Roman" w:eastAsia="Calibri" w:hAnsi="Times New Roman" w:cs="Times New Roman"/>
          <w:sz w:val="24"/>
          <w:szCs w:val="24"/>
        </w:rPr>
      </w:pPr>
      <w:r w:rsidRPr="00210CC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CEDCAE" wp14:editId="4DF4E6B0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753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CB25D" id="Straight Connector 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pt" to="45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E88B644" w14:textId="77777777" w:rsidR="00210CC9" w:rsidRPr="00210CC9" w:rsidRDefault="00210CC9" w:rsidP="00210CC9">
      <w:pPr>
        <w:rPr>
          <w:rFonts w:ascii="Times New Roman" w:eastAsia="Calibri" w:hAnsi="Times New Roman" w:cs="Times New Roman"/>
          <w:sz w:val="24"/>
          <w:szCs w:val="24"/>
        </w:rPr>
      </w:pPr>
      <w:r w:rsidRPr="00210CC9">
        <w:rPr>
          <w:rFonts w:ascii="Times New Roman" w:eastAsia="Calibri" w:hAnsi="Times New Roman" w:cs="Times New Roman"/>
          <w:sz w:val="24"/>
          <w:szCs w:val="24"/>
        </w:rPr>
        <w:t xml:space="preserve">Until further notice, the course buy-out rate is 12.5% of a faculty member’s nine-month salary plus fringe benefits for each course/semester, </w:t>
      </w:r>
      <w:r w:rsidRPr="00210CC9">
        <w:rPr>
          <w:rFonts w:ascii="Times New Roman" w:eastAsia="Calibri" w:hAnsi="Times New Roman" w:cs="Times New Roman"/>
          <w:b/>
          <w:bCs/>
          <w:sz w:val="24"/>
          <w:szCs w:val="24"/>
        </w:rPr>
        <w:t>OR</w:t>
      </w:r>
      <w:r w:rsidRPr="00210CC9">
        <w:rPr>
          <w:rFonts w:ascii="Times New Roman" w:eastAsia="Calibri" w:hAnsi="Times New Roman" w:cs="Times New Roman"/>
          <w:sz w:val="24"/>
          <w:szCs w:val="24"/>
        </w:rPr>
        <w:t xml:space="preserve"> $10,000 of salary plus fringe benefits; whichever is lower. Thus, the rate is capped at $10,000 plus fringe benefits for faculty members whose 9- month salary exceeds $90,000.</w:t>
      </w:r>
    </w:p>
    <w:p w14:paraId="5DC55DD1" w14:textId="3EAEA8EE" w:rsidR="00210CC9" w:rsidRPr="00210CC9" w:rsidRDefault="00210CC9" w:rsidP="00210CC9">
      <w:pPr>
        <w:rPr>
          <w:rFonts w:ascii="Times New Roman" w:eastAsia="Calibri" w:hAnsi="Times New Roman" w:cs="Times New Roman"/>
          <w:sz w:val="24"/>
          <w:szCs w:val="24"/>
        </w:rPr>
      </w:pPr>
      <w:r w:rsidRPr="00210CC9">
        <w:rPr>
          <w:rFonts w:ascii="Times New Roman" w:eastAsia="Calibri" w:hAnsi="Times New Roman" w:cs="Times New Roman"/>
          <w:sz w:val="24"/>
          <w:szCs w:val="24"/>
        </w:rPr>
        <w:t xml:space="preserve">Faculty requesting course buy-out for the purpose of payrolling on sponsored research funds must also include fringe benefit costs on their research grants. Your </w:t>
      </w:r>
      <w:r w:rsidR="006B13FE">
        <w:rPr>
          <w:rFonts w:ascii="Times New Roman" w:eastAsia="Calibri" w:hAnsi="Times New Roman" w:cs="Times New Roman"/>
          <w:sz w:val="24"/>
          <w:szCs w:val="24"/>
        </w:rPr>
        <w:t xml:space="preserve">College </w:t>
      </w:r>
      <w:proofErr w:type="gramStart"/>
      <w:r w:rsidR="006B13FE">
        <w:rPr>
          <w:rFonts w:ascii="Times New Roman" w:eastAsia="Calibri" w:hAnsi="Times New Roman" w:cs="Times New Roman"/>
          <w:sz w:val="24"/>
          <w:szCs w:val="24"/>
        </w:rPr>
        <w:t xml:space="preserve">Research </w:t>
      </w:r>
      <w:r w:rsidRPr="00210CC9">
        <w:rPr>
          <w:rFonts w:ascii="Times New Roman" w:eastAsia="Calibri" w:hAnsi="Times New Roman" w:cs="Times New Roman"/>
          <w:sz w:val="24"/>
          <w:szCs w:val="24"/>
        </w:rPr>
        <w:t xml:space="preserve"> Administrator</w:t>
      </w:r>
      <w:proofErr w:type="gramEnd"/>
      <w:r w:rsidRPr="00210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209F">
        <w:rPr>
          <w:rFonts w:ascii="Times New Roman" w:eastAsia="Calibri" w:hAnsi="Times New Roman" w:cs="Times New Roman"/>
          <w:sz w:val="24"/>
          <w:szCs w:val="24"/>
        </w:rPr>
        <w:t>(</w:t>
      </w:r>
      <w:r w:rsidR="007B31B7">
        <w:rPr>
          <w:rFonts w:ascii="Times New Roman" w:eastAsia="Calibri" w:hAnsi="Times New Roman" w:cs="Times New Roman"/>
          <w:sz w:val="24"/>
          <w:szCs w:val="24"/>
        </w:rPr>
        <w:t xml:space="preserve">CRA) </w:t>
      </w:r>
      <w:r w:rsidRPr="00210CC9">
        <w:rPr>
          <w:rFonts w:ascii="Times New Roman" w:eastAsia="Calibri" w:hAnsi="Times New Roman" w:cs="Times New Roman"/>
          <w:sz w:val="24"/>
          <w:szCs w:val="24"/>
        </w:rPr>
        <w:t xml:space="preserve">can calculate your fringe benefits for you. A sample course buy-out calculation is provided below. Upon a buy-out approval, the Full-Time Equivalency (FTE) on the state appropriated faculty salary budget is decreased proportionately for the 9- month period in which the course load reduction is to take place. A corresponding increase in the FTE is generated on a research or other institutional cost center. The reduction in FTE must occur during the actual buy-out period </w:t>
      </w:r>
      <w:proofErr w:type="gramStart"/>
      <w:r w:rsidRPr="00210CC9">
        <w:rPr>
          <w:rFonts w:ascii="Times New Roman" w:eastAsia="Calibri" w:hAnsi="Times New Roman" w:cs="Times New Roman"/>
          <w:sz w:val="24"/>
          <w:szCs w:val="24"/>
        </w:rPr>
        <w:t>in order to</w:t>
      </w:r>
      <w:proofErr w:type="gramEnd"/>
      <w:r w:rsidRPr="00210CC9">
        <w:rPr>
          <w:rFonts w:ascii="Times New Roman" w:eastAsia="Calibri" w:hAnsi="Times New Roman" w:cs="Times New Roman"/>
          <w:sz w:val="24"/>
          <w:szCs w:val="24"/>
        </w:rPr>
        <w:t xml:space="preserve"> comply with federal FTE effort reporting. </w:t>
      </w:r>
    </w:p>
    <w:p w14:paraId="77ACF25D" w14:textId="1CDE33E2" w:rsidR="00210CC9" w:rsidRPr="00210CC9" w:rsidRDefault="008F0C88" w:rsidP="00210CC9">
      <w:pPr>
        <w:rPr>
          <w:rFonts w:ascii="Times New Roman" w:eastAsia="Calibri" w:hAnsi="Times New Roman" w:cs="Times New Roman"/>
          <w:sz w:val="24"/>
          <w:szCs w:val="24"/>
        </w:rPr>
      </w:pPr>
      <w:r w:rsidRPr="00210CC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4F80317" wp14:editId="6F125D74">
                <wp:simplePos x="0" y="0"/>
                <wp:positionH relativeFrom="margin">
                  <wp:posOffset>-123825</wp:posOffset>
                </wp:positionH>
                <wp:positionV relativeFrom="margin">
                  <wp:posOffset>4476115</wp:posOffset>
                </wp:positionV>
                <wp:extent cx="3162300" cy="1809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A06E" w14:textId="77777777" w:rsidR="00210CC9" w:rsidRPr="00AA5EB1" w:rsidRDefault="00210CC9" w:rsidP="00210C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A5EB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 Course Buy-Out at 12.5%</w:t>
                            </w:r>
                          </w:p>
                          <w:p w14:paraId="779B5FB1" w14:textId="77777777" w:rsidR="00210CC9" w:rsidRPr="00AA5EB1" w:rsidRDefault="00210CC9" w:rsidP="00210CC9">
                            <w:pPr>
                              <w:pStyle w:val="NoSpacing"/>
                              <w:jc w:val="center"/>
                            </w:pPr>
                            <w:r w:rsidRPr="00AA5EB1">
                              <w:t>9-</w:t>
                            </w:r>
                            <w:r>
                              <w:t>M</w:t>
                            </w:r>
                            <w:r w:rsidRPr="00AA5EB1">
                              <w:t xml:space="preserve">onth </w:t>
                            </w:r>
                            <w:r>
                              <w:t>S</w:t>
                            </w:r>
                            <w:r w:rsidRPr="00AA5EB1">
                              <w:t>alary=$60,000</w:t>
                            </w:r>
                          </w:p>
                          <w:p w14:paraId="1EB3114C" w14:textId="77777777" w:rsidR="00210CC9" w:rsidRPr="00AA5EB1" w:rsidRDefault="00210CC9" w:rsidP="00210CC9">
                            <w:pPr>
                              <w:pStyle w:val="NoSpacing"/>
                              <w:jc w:val="center"/>
                            </w:pPr>
                            <w:r w:rsidRPr="00AA5EB1">
                              <w:t>$60,000 * 12.5% = $7,500</w:t>
                            </w:r>
                          </w:p>
                          <w:p w14:paraId="56AB5E29" w14:textId="77777777" w:rsidR="00210CC9" w:rsidRDefault="00210CC9" w:rsidP="00210CC9">
                            <w:pPr>
                              <w:pStyle w:val="NoSpacing"/>
                              <w:jc w:val="center"/>
                            </w:pPr>
                            <w:r w:rsidRPr="00AA5EB1">
                              <w:t>$7,500 * sample fringe rate (30%) = $2,250</w:t>
                            </w:r>
                          </w:p>
                          <w:p w14:paraId="074824AA" w14:textId="77777777" w:rsidR="00210CC9" w:rsidRDefault="00210CC9" w:rsidP="00210CC9">
                            <w:pPr>
                              <w:pStyle w:val="NoSpacing"/>
                              <w:jc w:val="center"/>
                            </w:pPr>
                            <w:r>
                              <w:t>FTE on state budget reduced to 0.85 FTE</w:t>
                            </w:r>
                          </w:p>
                          <w:p w14:paraId="75B33218" w14:textId="77777777" w:rsidR="00210CC9" w:rsidRDefault="00210CC9" w:rsidP="00210CC9">
                            <w:pPr>
                              <w:pStyle w:val="NoSpacing"/>
                              <w:jc w:val="center"/>
                            </w:pPr>
                            <w:r>
                              <w:t>FTE on other funds increased to 0.15 FTE</w:t>
                            </w:r>
                          </w:p>
                          <w:p w14:paraId="7695C697" w14:textId="77777777" w:rsidR="00210CC9" w:rsidRPr="00AA5EB1" w:rsidRDefault="00210CC9" w:rsidP="00210CC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5EB1">
                              <w:rPr>
                                <w:b/>
                                <w:bCs/>
                              </w:rPr>
                              <w:t>Total to budget on other funds = $9,</w:t>
                            </w:r>
                            <w:r>
                              <w:rPr>
                                <w:b/>
                                <w:bCs/>
                              </w:rPr>
                              <w:t>750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80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352.45pt;width:249pt;height:142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" filled="f" stroked="f">
                <v:textbox>
                  <w:txbxContent>
                    <w:p w14:paraId="0654A06E" w14:textId="77777777" w:rsidR="00210CC9" w:rsidRPr="00AA5EB1" w:rsidRDefault="00210CC9" w:rsidP="00210C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A5EB1">
                        <w:rPr>
                          <w:rFonts w:ascii="Times New Roman" w:hAnsi="Times New Roman" w:cs="Times New Roman"/>
                          <w:b/>
                          <w:bCs/>
                        </w:rPr>
                        <w:t>1 Course Buy-Out at 12.5%</w:t>
                      </w:r>
                    </w:p>
                    <w:p w14:paraId="779B5FB1" w14:textId="77777777" w:rsidR="00210CC9" w:rsidRPr="00AA5EB1" w:rsidRDefault="00210CC9" w:rsidP="00210CC9">
                      <w:pPr>
                        <w:pStyle w:val="NoSpacing"/>
                        <w:jc w:val="center"/>
                      </w:pPr>
                      <w:r w:rsidRPr="00AA5EB1">
                        <w:t>9-</w:t>
                      </w:r>
                      <w:r>
                        <w:t>M</w:t>
                      </w:r>
                      <w:r w:rsidRPr="00AA5EB1">
                        <w:t xml:space="preserve">onth </w:t>
                      </w:r>
                      <w:r>
                        <w:t>S</w:t>
                      </w:r>
                      <w:r w:rsidRPr="00AA5EB1">
                        <w:t>alary=$60,000</w:t>
                      </w:r>
                    </w:p>
                    <w:p w14:paraId="1EB3114C" w14:textId="77777777" w:rsidR="00210CC9" w:rsidRPr="00AA5EB1" w:rsidRDefault="00210CC9" w:rsidP="00210CC9">
                      <w:pPr>
                        <w:pStyle w:val="NoSpacing"/>
                        <w:jc w:val="center"/>
                      </w:pPr>
                      <w:r w:rsidRPr="00AA5EB1">
                        <w:t>$60,000 * 12.5% = $7,500</w:t>
                      </w:r>
                    </w:p>
                    <w:p w14:paraId="56AB5E29" w14:textId="77777777" w:rsidR="00210CC9" w:rsidRDefault="00210CC9" w:rsidP="00210CC9">
                      <w:pPr>
                        <w:pStyle w:val="NoSpacing"/>
                        <w:jc w:val="center"/>
                      </w:pPr>
                      <w:r w:rsidRPr="00AA5EB1">
                        <w:t>$7,500 * sample fringe rate (30%) = $2,250</w:t>
                      </w:r>
                    </w:p>
                    <w:p w14:paraId="074824AA" w14:textId="77777777" w:rsidR="00210CC9" w:rsidRDefault="00210CC9" w:rsidP="00210CC9">
                      <w:pPr>
                        <w:pStyle w:val="NoSpacing"/>
                        <w:jc w:val="center"/>
                      </w:pPr>
                      <w:r>
                        <w:t>FTE on state budget reduced to 0.85 FTE</w:t>
                      </w:r>
                    </w:p>
                    <w:p w14:paraId="75B33218" w14:textId="77777777" w:rsidR="00210CC9" w:rsidRDefault="00210CC9" w:rsidP="00210CC9">
                      <w:pPr>
                        <w:pStyle w:val="NoSpacing"/>
                        <w:jc w:val="center"/>
                      </w:pPr>
                      <w:r>
                        <w:t>FTE on other funds increased to 0.15 FTE</w:t>
                      </w:r>
                    </w:p>
                    <w:p w14:paraId="7695C697" w14:textId="77777777" w:rsidR="00210CC9" w:rsidRPr="00AA5EB1" w:rsidRDefault="00210CC9" w:rsidP="00210CC9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AA5EB1">
                        <w:rPr>
                          <w:b/>
                          <w:bCs/>
                        </w:rPr>
                        <w:t>Total to budget on other funds = $9,</w:t>
                      </w:r>
                      <w:r>
                        <w:rPr>
                          <w:b/>
                          <w:bCs/>
                        </w:rPr>
                        <w:t>750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10CC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EC585E" wp14:editId="4F0215EC">
                <wp:simplePos x="0" y="0"/>
                <wp:positionH relativeFrom="margin">
                  <wp:posOffset>3009900</wp:posOffset>
                </wp:positionH>
                <wp:positionV relativeFrom="margin">
                  <wp:posOffset>4432935</wp:posOffset>
                </wp:positionV>
                <wp:extent cx="3162300" cy="14573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08311" w14:textId="77777777" w:rsidR="00210CC9" w:rsidRPr="00AA5EB1" w:rsidRDefault="00210CC9" w:rsidP="00210C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A5EB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1 Course Buy-Out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with Cap</w:t>
                            </w:r>
                          </w:p>
                          <w:p w14:paraId="27E118E4" w14:textId="77777777" w:rsidR="00210CC9" w:rsidRPr="00AA5EB1" w:rsidRDefault="00210CC9" w:rsidP="00210CC9">
                            <w:pPr>
                              <w:pStyle w:val="NoSpacing"/>
                              <w:jc w:val="center"/>
                            </w:pPr>
                            <w:r w:rsidRPr="00AA5EB1">
                              <w:t>9-</w:t>
                            </w:r>
                            <w:r>
                              <w:t>M</w:t>
                            </w:r>
                            <w:r w:rsidRPr="00AA5EB1">
                              <w:t xml:space="preserve">onth </w:t>
                            </w:r>
                            <w:r>
                              <w:t>S</w:t>
                            </w:r>
                            <w:r w:rsidRPr="00AA5EB1">
                              <w:t>alary=$</w:t>
                            </w:r>
                            <w:r>
                              <w:t>10</w:t>
                            </w:r>
                            <w:r w:rsidRPr="00AA5EB1">
                              <w:t>0,000</w:t>
                            </w:r>
                          </w:p>
                          <w:p w14:paraId="0184A418" w14:textId="77777777" w:rsidR="00210CC9" w:rsidRPr="00AA5EB1" w:rsidRDefault="00210CC9" w:rsidP="00210CC9">
                            <w:pPr>
                              <w:pStyle w:val="NoSpacing"/>
                              <w:jc w:val="center"/>
                            </w:pPr>
                            <w:r>
                              <w:t>$10,000 Salary</w:t>
                            </w:r>
                          </w:p>
                          <w:p w14:paraId="5897E836" w14:textId="77777777" w:rsidR="00210CC9" w:rsidRDefault="00210CC9" w:rsidP="00210CC9">
                            <w:pPr>
                              <w:pStyle w:val="NoSpacing"/>
                              <w:jc w:val="center"/>
                            </w:pPr>
                            <w:r w:rsidRPr="00AA5EB1">
                              <w:t>$</w:t>
                            </w:r>
                            <w:r>
                              <w:t>10,0</w:t>
                            </w:r>
                            <w:r w:rsidRPr="00AA5EB1">
                              <w:t>00 * sample fringe rate (30%) = $</w:t>
                            </w:r>
                            <w:r>
                              <w:t>3,00</w:t>
                            </w:r>
                            <w:r w:rsidRPr="00AA5EB1">
                              <w:t>0</w:t>
                            </w:r>
                          </w:p>
                          <w:p w14:paraId="56B44200" w14:textId="77777777" w:rsidR="00210CC9" w:rsidRDefault="00210CC9" w:rsidP="00210CC9">
                            <w:pPr>
                              <w:pStyle w:val="NoSpacing"/>
                              <w:jc w:val="center"/>
                            </w:pPr>
                            <w:r>
                              <w:t>FTE on state budget reduced to 0.90 FTE</w:t>
                            </w:r>
                          </w:p>
                          <w:p w14:paraId="5C54CBE5" w14:textId="77777777" w:rsidR="00210CC9" w:rsidRDefault="00210CC9" w:rsidP="00210CC9">
                            <w:pPr>
                              <w:pStyle w:val="NoSpacing"/>
                              <w:jc w:val="center"/>
                            </w:pPr>
                            <w:r>
                              <w:t>FTE on other funds increased to 0.10 FTE</w:t>
                            </w:r>
                          </w:p>
                          <w:p w14:paraId="3C1EFE7D" w14:textId="77777777" w:rsidR="00210CC9" w:rsidRPr="00AA5EB1" w:rsidRDefault="00210CC9" w:rsidP="00210CC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A5EB1">
                              <w:rPr>
                                <w:b/>
                                <w:bCs/>
                              </w:rPr>
                              <w:t>Total to budget on other funds = $</w:t>
                            </w:r>
                            <w:r>
                              <w:rPr>
                                <w:b/>
                                <w:bCs/>
                              </w:rPr>
                              <w:t>13</w:t>
                            </w:r>
                            <w:r w:rsidRPr="00AA5EB1">
                              <w:rPr>
                                <w:b/>
                                <w:bCs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C585E" id="Text Box 7" o:spid="_x0000_s1027" type="#_x0000_t202" style="position:absolute;margin-left:237pt;margin-top:349.05pt;width:249pt;height:11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" filled="f" stroked="f">
                <v:textbox>
                  <w:txbxContent>
                    <w:p w14:paraId="6AF08311" w14:textId="77777777" w:rsidR="00210CC9" w:rsidRPr="00AA5EB1" w:rsidRDefault="00210CC9" w:rsidP="00210C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A5EB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1 Course Buy-Out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with Cap</w:t>
                      </w:r>
                    </w:p>
                    <w:p w14:paraId="27E118E4" w14:textId="77777777" w:rsidR="00210CC9" w:rsidRPr="00AA5EB1" w:rsidRDefault="00210CC9" w:rsidP="00210CC9">
                      <w:pPr>
                        <w:pStyle w:val="NoSpacing"/>
                        <w:jc w:val="center"/>
                      </w:pPr>
                      <w:r w:rsidRPr="00AA5EB1">
                        <w:t>9-</w:t>
                      </w:r>
                      <w:r>
                        <w:t>M</w:t>
                      </w:r>
                      <w:r w:rsidRPr="00AA5EB1">
                        <w:t xml:space="preserve">onth </w:t>
                      </w:r>
                      <w:r>
                        <w:t>S</w:t>
                      </w:r>
                      <w:r w:rsidRPr="00AA5EB1">
                        <w:t>alary=$</w:t>
                      </w:r>
                      <w:r>
                        <w:t>10</w:t>
                      </w:r>
                      <w:r w:rsidRPr="00AA5EB1">
                        <w:t>0,000</w:t>
                      </w:r>
                    </w:p>
                    <w:p w14:paraId="0184A418" w14:textId="77777777" w:rsidR="00210CC9" w:rsidRPr="00AA5EB1" w:rsidRDefault="00210CC9" w:rsidP="00210CC9">
                      <w:pPr>
                        <w:pStyle w:val="NoSpacing"/>
                        <w:jc w:val="center"/>
                      </w:pPr>
                      <w:r>
                        <w:t>$10,000 Salary</w:t>
                      </w:r>
                    </w:p>
                    <w:p w14:paraId="5897E836" w14:textId="77777777" w:rsidR="00210CC9" w:rsidRDefault="00210CC9" w:rsidP="00210CC9">
                      <w:pPr>
                        <w:pStyle w:val="NoSpacing"/>
                        <w:jc w:val="center"/>
                      </w:pPr>
                      <w:r w:rsidRPr="00AA5EB1">
                        <w:t>$</w:t>
                      </w:r>
                      <w:r>
                        <w:t>10,0</w:t>
                      </w:r>
                      <w:r w:rsidRPr="00AA5EB1">
                        <w:t>00 * sample fringe rate (30%) = $</w:t>
                      </w:r>
                      <w:r>
                        <w:t>3,00</w:t>
                      </w:r>
                      <w:r w:rsidRPr="00AA5EB1">
                        <w:t>0</w:t>
                      </w:r>
                    </w:p>
                    <w:p w14:paraId="56B44200" w14:textId="77777777" w:rsidR="00210CC9" w:rsidRDefault="00210CC9" w:rsidP="00210CC9">
                      <w:pPr>
                        <w:pStyle w:val="NoSpacing"/>
                        <w:jc w:val="center"/>
                      </w:pPr>
                      <w:r>
                        <w:t>FTE on state budget reduced to 0.90 FTE</w:t>
                      </w:r>
                    </w:p>
                    <w:p w14:paraId="5C54CBE5" w14:textId="77777777" w:rsidR="00210CC9" w:rsidRDefault="00210CC9" w:rsidP="00210CC9">
                      <w:pPr>
                        <w:pStyle w:val="NoSpacing"/>
                        <w:jc w:val="center"/>
                      </w:pPr>
                      <w:r>
                        <w:t>FTE on other funds increased to 0.10 FTE</w:t>
                      </w:r>
                    </w:p>
                    <w:p w14:paraId="3C1EFE7D" w14:textId="77777777" w:rsidR="00210CC9" w:rsidRPr="00AA5EB1" w:rsidRDefault="00210CC9" w:rsidP="00210CC9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AA5EB1">
                        <w:rPr>
                          <w:b/>
                          <w:bCs/>
                        </w:rPr>
                        <w:t>Total to budget on other funds = $</w:t>
                      </w:r>
                      <w:r>
                        <w:rPr>
                          <w:b/>
                          <w:bCs/>
                        </w:rPr>
                        <w:t>13</w:t>
                      </w:r>
                      <w:r w:rsidRPr="00AA5EB1">
                        <w:rPr>
                          <w:b/>
                          <w:bCs/>
                        </w:rPr>
                        <w:t>,000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10CC9" w:rsidRPr="00210CC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2C1DB" wp14:editId="6713D92E">
                <wp:simplePos x="0" y="0"/>
                <wp:positionH relativeFrom="margin">
                  <wp:align>left</wp:align>
                </wp:positionH>
                <wp:positionV relativeFrom="paragraph">
                  <wp:posOffset>1657985</wp:posOffset>
                </wp:positionV>
                <wp:extent cx="57531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EA42E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0.55pt" to="453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10CC9" w:rsidRPr="00210CC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FA5C1" wp14:editId="5F06DA77">
                <wp:simplePos x="0" y="0"/>
                <wp:positionH relativeFrom="margin">
                  <wp:posOffset>9525</wp:posOffset>
                </wp:positionH>
                <wp:positionV relativeFrom="paragraph">
                  <wp:posOffset>513080</wp:posOffset>
                </wp:positionV>
                <wp:extent cx="26955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002E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40.4pt" to="213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10CC9" w:rsidRPr="00210CC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F3DEB" wp14:editId="3010FF2C">
                <wp:simplePos x="0" y="0"/>
                <wp:positionH relativeFrom="margin">
                  <wp:posOffset>3142615</wp:posOffset>
                </wp:positionH>
                <wp:positionV relativeFrom="paragraph">
                  <wp:posOffset>503555</wp:posOffset>
                </wp:positionV>
                <wp:extent cx="26003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9C3BE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45pt,39.65pt" to="452.2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10CC9" w:rsidRPr="00210CC9">
        <w:rPr>
          <w:rFonts w:ascii="Times New Roman" w:eastAsia="Calibri" w:hAnsi="Times New Roman" w:cs="Times New Roman"/>
          <w:sz w:val="24"/>
          <w:szCs w:val="24"/>
        </w:rPr>
        <w:t>EXAMPLES:</w:t>
      </w:r>
    </w:p>
    <w:p w14:paraId="0C32238E" w14:textId="1933197B" w:rsidR="00D963AF" w:rsidRDefault="00D963AF" w:rsidP="007B31B7">
      <w:pPr>
        <w:jc w:val="both"/>
      </w:pPr>
    </w:p>
    <w:p w14:paraId="06E29DDC" w14:textId="510966D2" w:rsidR="00183749" w:rsidRDefault="00183749" w:rsidP="007B31B7">
      <w:pPr>
        <w:jc w:val="both"/>
      </w:pPr>
    </w:p>
    <w:p w14:paraId="5A868B12" w14:textId="77777777" w:rsidR="002649DE" w:rsidRDefault="002649DE" w:rsidP="002649DE"/>
    <w:p w14:paraId="5B809D45" w14:textId="4AFB0FF9" w:rsidR="002649DE" w:rsidRPr="002649DE" w:rsidRDefault="002649DE" w:rsidP="002649DE">
      <w:r>
        <w:t xml:space="preserve">Any changes to the buy-out policy </w:t>
      </w:r>
      <w:r w:rsidR="00596F56">
        <w:t>must be negotiated with me in advance.</w:t>
      </w:r>
    </w:p>
    <w:sectPr w:rsidR="002649DE" w:rsidRPr="002649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426B" w14:textId="77777777" w:rsidR="005974F8" w:rsidRDefault="005974F8" w:rsidP="000A6A27">
      <w:pPr>
        <w:spacing w:after="0" w:line="240" w:lineRule="auto"/>
      </w:pPr>
      <w:r>
        <w:separator/>
      </w:r>
    </w:p>
  </w:endnote>
  <w:endnote w:type="continuationSeparator" w:id="0">
    <w:p w14:paraId="60B76630" w14:textId="77777777" w:rsidR="005974F8" w:rsidRDefault="005974F8" w:rsidP="000A6A27">
      <w:pPr>
        <w:spacing w:after="0" w:line="240" w:lineRule="auto"/>
      </w:pPr>
      <w:r>
        <w:continuationSeparator/>
      </w:r>
    </w:p>
  </w:endnote>
  <w:endnote w:type="continuationNotice" w:id="1">
    <w:p w14:paraId="55DC51F6" w14:textId="77777777" w:rsidR="00D963AF" w:rsidRDefault="00D96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2B0C" w14:textId="77777777" w:rsidR="000A6A27" w:rsidRDefault="000A6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6B65" w14:textId="77777777" w:rsidR="000A6A27" w:rsidRPr="00C677C0" w:rsidRDefault="000A6A27" w:rsidP="000A6A27">
    <w:pPr>
      <w:pStyle w:val="Footer"/>
      <w:spacing w:line="276" w:lineRule="auto"/>
      <w:jc w:val="both"/>
      <w:rPr>
        <w:rFonts w:ascii="Arial" w:hAnsi="Arial" w:cs="Arial"/>
        <w:sz w:val="18"/>
      </w:rPr>
    </w:pPr>
    <w:r w:rsidRPr="00C677C0">
      <w:rPr>
        <w:rFonts w:ascii="Arial" w:hAnsi="Arial" w:cs="Arial"/>
        <w:sz w:val="18"/>
      </w:rPr>
      <w:t xml:space="preserve">402 Agnes Arnold Hall   </w:t>
    </w:r>
    <w:proofErr w:type="gramStart"/>
    <w:r w:rsidRPr="00C677C0">
      <w:rPr>
        <w:rFonts w:ascii="Arial" w:hAnsi="Arial" w:cs="Arial"/>
        <w:sz w:val="18"/>
      </w:rPr>
      <w:t xml:space="preserve"> </w:t>
    </w:r>
    <w:r w:rsidRPr="00C677C0">
      <w:rPr>
        <w:rFonts w:ascii="Arial" w:hAnsi="Arial" w:cs="Arial"/>
        <w:b/>
      </w:rPr>
      <w:t xml:space="preserve"> .</w:t>
    </w:r>
    <w:proofErr w:type="gramEnd"/>
    <w:r w:rsidRPr="00C677C0">
      <w:rPr>
        <w:rFonts w:ascii="Arial" w:hAnsi="Arial" w:cs="Arial"/>
      </w:rPr>
      <w:t xml:space="preserve">     </w:t>
    </w:r>
    <w:r w:rsidRPr="00C677C0">
      <w:rPr>
        <w:rFonts w:ascii="Arial" w:hAnsi="Arial" w:cs="Arial"/>
        <w:sz w:val="18"/>
      </w:rPr>
      <w:t>Houston, Texas   77204-3000</w:t>
    </w:r>
  </w:p>
  <w:p w14:paraId="0718D05F" w14:textId="77777777" w:rsidR="000A6A27" w:rsidRPr="00C677C0" w:rsidRDefault="000A6A27" w:rsidP="000A6A27">
    <w:pPr>
      <w:pStyle w:val="Footer"/>
      <w:spacing w:line="276" w:lineRule="auto"/>
      <w:jc w:val="both"/>
      <w:rPr>
        <w:rFonts w:ascii="Arial" w:hAnsi="Arial" w:cs="Arial"/>
        <w:sz w:val="18"/>
      </w:rPr>
    </w:pPr>
    <w:r w:rsidRPr="00C677C0">
      <w:rPr>
        <w:rFonts w:ascii="Arial" w:hAnsi="Arial" w:cs="Arial"/>
        <w:sz w:val="18"/>
      </w:rPr>
      <w:t xml:space="preserve">Office: 713.743.3000     </w:t>
    </w:r>
    <w:proofErr w:type="gramStart"/>
    <w:r w:rsidRPr="00C677C0">
      <w:rPr>
        <w:rFonts w:ascii="Arial" w:hAnsi="Arial" w:cs="Arial"/>
        <w:b/>
      </w:rPr>
      <w:t xml:space="preserve">  .</w:t>
    </w:r>
    <w:proofErr w:type="gramEnd"/>
    <w:r w:rsidRPr="00C677C0">
      <w:rPr>
        <w:rFonts w:ascii="Arial" w:hAnsi="Arial" w:cs="Arial"/>
      </w:rPr>
      <w:t xml:space="preserve">     </w:t>
    </w:r>
    <w:r w:rsidRPr="00C677C0">
      <w:rPr>
        <w:rFonts w:ascii="Arial" w:hAnsi="Arial" w:cs="Arial"/>
        <w:sz w:val="18"/>
      </w:rPr>
      <w:t xml:space="preserve">Fax: 713.743.2990   </w:t>
    </w:r>
    <w:proofErr w:type="gramStart"/>
    <w:r w:rsidRPr="00C677C0">
      <w:rPr>
        <w:rFonts w:ascii="Arial" w:hAnsi="Arial" w:cs="Arial"/>
        <w:sz w:val="18"/>
      </w:rPr>
      <w:t xml:space="preserve"> </w:t>
    </w:r>
    <w:r w:rsidRPr="00C677C0">
      <w:rPr>
        <w:rFonts w:ascii="Arial" w:hAnsi="Arial" w:cs="Arial"/>
        <w:b/>
      </w:rPr>
      <w:t xml:space="preserve"> .</w:t>
    </w:r>
    <w:proofErr w:type="gramEnd"/>
    <w:r w:rsidRPr="00C677C0">
      <w:rPr>
        <w:rFonts w:ascii="Arial" w:hAnsi="Arial" w:cs="Arial"/>
      </w:rPr>
      <w:t xml:space="preserve">     </w:t>
    </w:r>
    <w:r w:rsidRPr="00C677C0">
      <w:rPr>
        <w:rFonts w:ascii="Arial" w:hAnsi="Arial" w:cs="Arial"/>
        <w:sz w:val="18"/>
      </w:rPr>
      <w:t>www.class.uh.edu</w:t>
    </w:r>
  </w:p>
  <w:p w14:paraId="5DFE7559" w14:textId="77777777" w:rsidR="000A6A27" w:rsidRDefault="000A6A27">
    <w:pPr>
      <w:pStyle w:val="Footer"/>
    </w:pPr>
  </w:p>
  <w:p w14:paraId="05E8B0F3" w14:textId="77777777" w:rsidR="000A6A27" w:rsidRDefault="000A6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2183" w14:textId="77777777" w:rsidR="000A6A27" w:rsidRDefault="000A6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D7E0" w14:textId="77777777" w:rsidR="005974F8" w:rsidRDefault="005974F8" w:rsidP="000A6A27">
      <w:pPr>
        <w:spacing w:after="0" w:line="240" w:lineRule="auto"/>
      </w:pPr>
      <w:r>
        <w:separator/>
      </w:r>
    </w:p>
  </w:footnote>
  <w:footnote w:type="continuationSeparator" w:id="0">
    <w:p w14:paraId="6A4C9C6E" w14:textId="77777777" w:rsidR="005974F8" w:rsidRDefault="005974F8" w:rsidP="000A6A27">
      <w:pPr>
        <w:spacing w:after="0" w:line="240" w:lineRule="auto"/>
      </w:pPr>
      <w:r>
        <w:continuationSeparator/>
      </w:r>
    </w:p>
  </w:footnote>
  <w:footnote w:type="continuationNotice" w:id="1">
    <w:p w14:paraId="18172DC4" w14:textId="77777777" w:rsidR="00D963AF" w:rsidRDefault="00D963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8AE2" w14:textId="77777777" w:rsidR="000A6A27" w:rsidRDefault="000A6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5FB2" w14:textId="77777777" w:rsidR="000A6A27" w:rsidRDefault="000A6A27">
    <w:pPr>
      <w:pStyle w:val="Header"/>
    </w:pPr>
    <w:r>
      <w:rPr>
        <w:rFonts w:ascii="Arial Narrow" w:hAnsi="Arial Narrow" w:cs="Tahoma"/>
        <w:noProof/>
      </w:rPr>
      <w:drawing>
        <wp:inline distT="0" distB="0" distL="0" distR="0" wp14:anchorId="2FB8BCEC" wp14:editId="5D34775C">
          <wp:extent cx="2286000" cy="593480"/>
          <wp:effectExtent l="19050" t="0" r="0" b="0"/>
          <wp:docPr id="2" name="Picture 2" descr="C:\Documents and Settings\jmcwhirt\Local Settings\Temporary Internet Files\Content.Outlook\5U5CHNN6\UHnoYATP primary_all 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mcwhirt\Local Settings\Temporary Internet Files\Content.Outlook\5U5CHNN6\UHnoYATP primary_all RE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439" cy="603719"/>
                  </a:xfrm>
                  <a:prstGeom prst="rect">
                    <a:avLst/>
                  </a:prstGeom>
                  <a:solidFill>
                    <a:srgbClr val="C0504D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1258" w14:textId="77777777" w:rsidR="000A6A27" w:rsidRDefault="000A6A27">
    <w:pPr>
      <w:pStyle w:val="Header"/>
    </w:pPr>
    <w:r>
      <w:t>College of Liberal Arts and Social Sciences</w:t>
    </w:r>
  </w:p>
  <w:p w14:paraId="4BE09C46" w14:textId="77777777" w:rsidR="000A6A27" w:rsidRDefault="000A6A27">
    <w:pPr>
      <w:pStyle w:val="Header"/>
    </w:pPr>
    <w:r>
      <w:t>Office of the Dean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E6C1" w14:textId="77777777" w:rsidR="000A6A27" w:rsidRDefault="000A6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27"/>
    <w:rsid w:val="0004209F"/>
    <w:rsid w:val="000440F7"/>
    <w:rsid w:val="000A6A27"/>
    <w:rsid w:val="00183749"/>
    <w:rsid w:val="00193BFE"/>
    <w:rsid w:val="001C0806"/>
    <w:rsid w:val="001F3442"/>
    <w:rsid w:val="00210CC9"/>
    <w:rsid w:val="00240D15"/>
    <w:rsid w:val="002649DE"/>
    <w:rsid w:val="00415203"/>
    <w:rsid w:val="00483137"/>
    <w:rsid w:val="004F4AC0"/>
    <w:rsid w:val="00547A47"/>
    <w:rsid w:val="00564BAF"/>
    <w:rsid w:val="00596F56"/>
    <w:rsid w:val="005974F8"/>
    <w:rsid w:val="005A086F"/>
    <w:rsid w:val="005B3B57"/>
    <w:rsid w:val="006150C2"/>
    <w:rsid w:val="006579FD"/>
    <w:rsid w:val="006977EF"/>
    <w:rsid w:val="006B13FE"/>
    <w:rsid w:val="006E5BF0"/>
    <w:rsid w:val="007257A9"/>
    <w:rsid w:val="007868D0"/>
    <w:rsid w:val="00791F2E"/>
    <w:rsid w:val="007B31B7"/>
    <w:rsid w:val="007E7E25"/>
    <w:rsid w:val="00834A44"/>
    <w:rsid w:val="00851558"/>
    <w:rsid w:val="00853C28"/>
    <w:rsid w:val="008F0C88"/>
    <w:rsid w:val="00920944"/>
    <w:rsid w:val="00931822"/>
    <w:rsid w:val="00971BE2"/>
    <w:rsid w:val="009E7079"/>
    <w:rsid w:val="00A76B80"/>
    <w:rsid w:val="00AA5C41"/>
    <w:rsid w:val="00AB1321"/>
    <w:rsid w:val="00AF60DD"/>
    <w:rsid w:val="00B43FF7"/>
    <w:rsid w:val="00B8173A"/>
    <w:rsid w:val="00BA231F"/>
    <w:rsid w:val="00BF55C8"/>
    <w:rsid w:val="00C41495"/>
    <w:rsid w:val="00C473AD"/>
    <w:rsid w:val="00C61276"/>
    <w:rsid w:val="00CE4EA5"/>
    <w:rsid w:val="00D24684"/>
    <w:rsid w:val="00D675BF"/>
    <w:rsid w:val="00D725FE"/>
    <w:rsid w:val="00D93BAC"/>
    <w:rsid w:val="00D963AF"/>
    <w:rsid w:val="00E02ADE"/>
    <w:rsid w:val="00EF67C9"/>
    <w:rsid w:val="00F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E3B00"/>
  <w15:chartTrackingRefBased/>
  <w15:docId w15:val="{9FD3E909-37D2-43CA-A51A-E9BF351A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203"/>
  </w:style>
  <w:style w:type="paragraph" w:styleId="Heading1">
    <w:name w:val="heading 1"/>
    <w:basedOn w:val="Normal"/>
    <w:next w:val="Normal"/>
    <w:link w:val="Heading1Char"/>
    <w:uiPriority w:val="9"/>
    <w:qFormat/>
    <w:rsid w:val="00415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2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2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203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20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203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2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20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2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6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A27"/>
  </w:style>
  <w:style w:type="paragraph" w:styleId="Footer">
    <w:name w:val="footer"/>
    <w:basedOn w:val="Normal"/>
    <w:link w:val="FooterChar"/>
    <w:unhideWhenUsed/>
    <w:rsid w:val="000A6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A27"/>
  </w:style>
  <w:style w:type="paragraph" w:customStyle="1" w:styleId="xmsonormal">
    <w:name w:val="x_msonormal"/>
    <w:basedOn w:val="Normal"/>
    <w:rsid w:val="0024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D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520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20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20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20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203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203"/>
  </w:style>
  <w:style w:type="character" w:customStyle="1" w:styleId="Heading7Char">
    <w:name w:val="Heading 7 Char"/>
    <w:basedOn w:val="DefaultParagraphFont"/>
    <w:link w:val="Heading7"/>
    <w:uiPriority w:val="9"/>
    <w:semiHidden/>
    <w:rsid w:val="0041520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203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20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52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52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20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20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520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1520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5203"/>
    <w:rPr>
      <w:i/>
      <w:iCs/>
      <w:color w:val="auto"/>
    </w:rPr>
  </w:style>
  <w:style w:type="paragraph" w:styleId="NoSpacing">
    <w:name w:val="No Spacing"/>
    <w:uiPriority w:val="1"/>
    <w:qFormat/>
    <w:rsid w:val="004152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520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20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2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20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41520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1520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520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1520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41520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20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A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Denise</dc:creator>
  <cp:keywords/>
  <dc:description/>
  <cp:lastModifiedBy>Denise McGuire</cp:lastModifiedBy>
  <cp:revision>2</cp:revision>
  <dcterms:created xsi:type="dcterms:W3CDTF">2022-04-17T18:24:00Z</dcterms:created>
  <dcterms:modified xsi:type="dcterms:W3CDTF">2022-04-17T18:24:00Z</dcterms:modified>
</cp:coreProperties>
</file>