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DE" w:rsidRDefault="009A1C97" w:rsidP="009A1C97">
      <w:pPr>
        <w:pStyle w:val="ListParagraph"/>
        <w:numPr>
          <w:ilvl w:val="0"/>
          <w:numId w:val="1"/>
        </w:numPr>
      </w:pPr>
      <w:r>
        <w:t>What is the State Use Program?</w:t>
      </w:r>
    </w:p>
    <w:p w:rsidR="009A1C97" w:rsidRDefault="009A1C97" w:rsidP="009A1C97">
      <w:pPr>
        <w:pStyle w:val="ListParagraph"/>
        <w:numPr>
          <w:ilvl w:val="1"/>
          <w:numId w:val="1"/>
        </w:numPr>
      </w:pPr>
      <w:r>
        <w:t>State law</w:t>
      </w:r>
      <w:r w:rsidR="00967666">
        <w:t xml:space="preserve"> </w:t>
      </w:r>
      <w:r>
        <w:t>requires state agencies and universities to purchase goods and services from community rehabilitation programs that employ disabled Texans when</w:t>
      </w:r>
      <w:r w:rsidR="00A164F7">
        <w:t xml:space="preserve"> the</w:t>
      </w:r>
      <w:r>
        <w:t xml:space="preserve"> </w:t>
      </w:r>
      <w:r w:rsidR="00AA69E6">
        <w:t xml:space="preserve">community rehabilitation program’s </w:t>
      </w:r>
      <w:r>
        <w:t xml:space="preserve">goods or services will meet the </w:t>
      </w:r>
      <w:r w:rsidR="00AA69E6">
        <w:t xml:space="preserve">needs of the </w:t>
      </w:r>
      <w:r>
        <w:t>agency or university in the time</w:t>
      </w:r>
      <w:r w:rsidR="003A334F">
        <w:t>frame</w:t>
      </w:r>
      <w:r>
        <w:t xml:space="preserve"> required.</w:t>
      </w:r>
      <w:r w:rsidR="000D39F8">
        <w:t xml:space="preserve">  Agencies and universities must also provide a monthly report to the Comptroller’s Office of any goods or services</w:t>
      </w:r>
      <w:r w:rsidR="00AA69E6">
        <w:t xml:space="preserve"> </w:t>
      </w:r>
      <w:r w:rsidR="00AA69E6" w:rsidRPr="00AA69E6">
        <w:rPr>
          <w:u w:val="single"/>
        </w:rPr>
        <w:t>not</w:t>
      </w:r>
      <w:r w:rsidR="000D39F8">
        <w:t xml:space="preserve"> purchased from State Use Program vendors</w:t>
      </w:r>
      <w:r w:rsidR="00AA69E6">
        <w:t xml:space="preserve"> </w:t>
      </w:r>
      <w:r w:rsidR="003A334F">
        <w:t>(</w:t>
      </w:r>
      <w:r w:rsidR="00970A23">
        <w:t>sold through</w:t>
      </w:r>
      <w:r w:rsidR="00A164F7">
        <w:t xml:space="preserve"> TIBH</w:t>
      </w:r>
      <w:r w:rsidR="00970A23">
        <w:t xml:space="preserve"> Industries</w:t>
      </w:r>
      <w:r w:rsidR="00D953C4">
        <w:t xml:space="preserve"> or vocational rehabilitation centers certified by TIBH</w:t>
      </w:r>
      <w:r w:rsidR="00A164F7">
        <w:t xml:space="preserve">) </w:t>
      </w:r>
      <w:r w:rsidR="00AA69E6">
        <w:t>that were available from those vendors, as well as the reason the State Use Program was not used</w:t>
      </w:r>
      <w:r w:rsidR="000D39F8">
        <w:t>.</w:t>
      </w:r>
    </w:p>
    <w:p w:rsidR="00967666" w:rsidRDefault="00967666" w:rsidP="00967666">
      <w:pPr>
        <w:pStyle w:val="ListParagraph"/>
        <w:numPr>
          <w:ilvl w:val="1"/>
          <w:numId w:val="1"/>
        </w:numPr>
      </w:pPr>
      <w:r>
        <w:t xml:space="preserve">Texas Human Resources Code, Title 8, Chapter 122: </w:t>
      </w:r>
      <w:hyperlink r:id="rId8" w:history="1">
        <w:r w:rsidRPr="00980DB0">
          <w:rPr>
            <w:rStyle w:val="Hyperlink"/>
          </w:rPr>
          <w:t>http://www.statutes.legis.state.tx.us/Docs/HR/htm/HR.122.htm</w:t>
        </w:r>
      </w:hyperlink>
      <w:r>
        <w:t xml:space="preserve"> </w:t>
      </w:r>
    </w:p>
    <w:p w:rsidR="00967666" w:rsidRDefault="00967666" w:rsidP="00967666">
      <w:pPr>
        <w:pStyle w:val="ListParagraph"/>
        <w:numPr>
          <w:ilvl w:val="1"/>
          <w:numId w:val="1"/>
        </w:numPr>
      </w:pPr>
      <w:r>
        <w:t xml:space="preserve">Texas Administrative Code, Title 40, Part 7, Chapter 189: </w:t>
      </w:r>
      <w:hyperlink r:id="rId9" w:history="1">
        <w:r w:rsidRPr="00980DB0">
          <w:rPr>
            <w:rStyle w:val="Hyperlink"/>
          </w:rPr>
          <w:t>http://texreg.sos.state.tx.us/public/readtac$ext.ViewTAC?tac_view=3&amp;ti=40&amp;pt=7</w:t>
        </w:r>
      </w:hyperlink>
      <w:r>
        <w:t xml:space="preserve"> </w:t>
      </w:r>
    </w:p>
    <w:p w:rsidR="009A1C97" w:rsidRDefault="009A1C97" w:rsidP="009A1C97">
      <w:pPr>
        <w:pStyle w:val="ListParagraph"/>
        <w:numPr>
          <w:ilvl w:val="0"/>
          <w:numId w:val="1"/>
        </w:numPr>
      </w:pPr>
      <w:r>
        <w:t>Which</w:t>
      </w:r>
      <w:r w:rsidR="00AA69E6">
        <w:t xml:space="preserve"> </w:t>
      </w:r>
      <w:r w:rsidR="00A164F7">
        <w:t>purchases</w:t>
      </w:r>
      <w:r>
        <w:t xml:space="preserve"> are subject to the State Use Program?</w:t>
      </w:r>
    </w:p>
    <w:p w:rsidR="009A1C97" w:rsidRDefault="009A1C97" w:rsidP="009A1C97">
      <w:pPr>
        <w:pStyle w:val="ListParagraph"/>
        <w:numPr>
          <w:ilvl w:val="1"/>
          <w:numId w:val="1"/>
        </w:numPr>
      </w:pPr>
      <w:r>
        <w:t xml:space="preserve">Purchases made </w:t>
      </w:r>
      <w:r w:rsidR="00AA69E6">
        <w:t xml:space="preserve">in whole or in part </w:t>
      </w:r>
      <w:r>
        <w:t xml:space="preserve">with </w:t>
      </w:r>
      <w:r w:rsidRPr="00D77D2D">
        <w:rPr>
          <w:u w:val="single"/>
        </w:rPr>
        <w:t>state</w:t>
      </w:r>
      <w:r>
        <w:t xml:space="preserve"> funds </w:t>
      </w:r>
      <w:r w:rsidR="00AA69E6">
        <w:t>are subject to the State Use Program</w:t>
      </w:r>
      <w:r>
        <w:t>.  Local (non-state) funds are not subject to the State Use Program.</w:t>
      </w:r>
    </w:p>
    <w:p w:rsidR="00A164F7" w:rsidRDefault="00A164F7" w:rsidP="009A1C97">
      <w:pPr>
        <w:pStyle w:val="ListParagraph"/>
        <w:numPr>
          <w:ilvl w:val="1"/>
          <w:numId w:val="1"/>
        </w:numPr>
      </w:pPr>
      <w:r>
        <w:t>There is no minimum dollar threshold for the State Use Program, so it applies to all state fund purchases, regardless of dollar amount.</w:t>
      </w:r>
    </w:p>
    <w:p w:rsidR="00D77D2D" w:rsidRDefault="00D77D2D" w:rsidP="00D77D2D">
      <w:pPr>
        <w:pStyle w:val="ListParagraph"/>
        <w:numPr>
          <w:ilvl w:val="0"/>
          <w:numId w:val="1"/>
        </w:numPr>
      </w:pPr>
      <w:r>
        <w:t>Where is a list of State Use Program goods and services?</w:t>
      </w:r>
    </w:p>
    <w:p w:rsidR="00D77D2D" w:rsidRDefault="00D77D2D" w:rsidP="00D77D2D">
      <w:pPr>
        <w:pStyle w:val="ListParagraph"/>
        <w:numPr>
          <w:ilvl w:val="1"/>
          <w:numId w:val="1"/>
        </w:numPr>
      </w:pPr>
      <w:r>
        <w:t xml:space="preserve">The TIBH website has a list of goods and services provided by community rehabilitation programs </w:t>
      </w:r>
      <w:r w:rsidR="00A82A32">
        <w:t>through</w:t>
      </w:r>
      <w:r>
        <w:t xml:space="preserve"> the State Use Program: </w:t>
      </w:r>
      <w:hyperlink r:id="rId10" w:history="1">
        <w:r w:rsidR="00A82A32" w:rsidRPr="00980DB0">
          <w:rPr>
            <w:rStyle w:val="Hyperlink"/>
          </w:rPr>
          <w:t>https://www</w:t>
        </w:r>
        <w:r w:rsidR="00A82A32" w:rsidRPr="00980DB0">
          <w:rPr>
            <w:rStyle w:val="Hyperlink"/>
          </w:rPr>
          <w:t>.</w:t>
        </w:r>
        <w:r w:rsidR="00A82A32" w:rsidRPr="00980DB0">
          <w:rPr>
            <w:rStyle w:val="Hyperlink"/>
          </w:rPr>
          <w:t>tibh.org/</w:t>
        </w:r>
      </w:hyperlink>
      <w:r w:rsidR="00A82A32">
        <w:t xml:space="preserve"> </w:t>
      </w:r>
    </w:p>
    <w:p w:rsidR="0020345A" w:rsidRDefault="0020345A" w:rsidP="0020345A">
      <w:pPr>
        <w:pStyle w:val="ListParagraph"/>
        <w:numPr>
          <w:ilvl w:val="1"/>
          <w:numId w:val="1"/>
        </w:numPr>
      </w:pPr>
      <w:r>
        <w:t>Click on “Products” or “Services” and perform a search.</w:t>
      </w:r>
    </w:p>
    <w:p w:rsidR="00A82A32" w:rsidRDefault="00D527F5" w:rsidP="00A82A32">
      <w:pPr>
        <w:pStyle w:val="ListParagraph"/>
        <w:numPr>
          <w:ilvl w:val="0"/>
          <w:numId w:val="1"/>
        </w:numPr>
      </w:pPr>
      <w:r>
        <w:t xml:space="preserve">When </w:t>
      </w:r>
      <w:r w:rsidR="00D534BC">
        <w:t xml:space="preserve">and how </w:t>
      </w:r>
      <w:r w:rsidR="00A82A32">
        <w:t xml:space="preserve">does </w:t>
      </w:r>
      <w:r>
        <w:t>the Finance System remind employees to check the TIBH website to determine if the good or service being purchased is available from TIBH</w:t>
      </w:r>
      <w:r w:rsidR="0093402F">
        <w:t xml:space="preserve"> a</w:t>
      </w:r>
      <w:r w:rsidR="005C1DF5">
        <w:t>nd how are exceptions to using TIBH</w:t>
      </w:r>
      <w:r w:rsidR="0093402F">
        <w:t xml:space="preserve"> documented</w:t>
      </w:r>
      <w:r w:rsidR="00A82A32">
        <w:t>?</w:t>
      </w:r>
    </w:p>
    <w:p w:rsidR="003511BC" w:rsidRDefault="008C5DC6" w:rsidP="00A82A32">
      <w:pPr>
        <w:pStyle w:val="ListParagraph"/>
        <w:numPr>
          <w:ilvl w:val="1"/>
          <w:numId w:val="1"/>
        </w:numPr>
      </w:pPr>
      <w:r>
        <w:t xml:space="preserve">When </w:t>
      </w:r>
      <w:r w:rsidR="00F76A92">
        <w:t xml:space="preserve">an employee creates </w:t>
      </w:r>
      <w:r>
        <w:t xml:space="preserve">(1) a </w:t>
      </w:r>
      <w:r w:rsidR="00D527F5">
        <w:t xml:space="preserve">purchase requisition that contains </w:t>
      </w:r>
      <w:r>
        <w:t>(2</w:t>
      </w:r>
      <w:r w:rsidR="001C7FD5">
        <w:t xml:space="preserve">) a state fund cost center, </w:t>
      </w:r>
      <w:r>
        <w:t>(3</w:t>
      </w:r>
      <w:r w:rsidR="001C7FD5">
        <w:t xml:space="preserve">) a vendor </w:t>
      </w:r>
      <w:r w:rsidR="001C7FD5" w:rsidRPr="00D953C4">
        <w:rPr>
          <w:u w:val="single"/>
        </w:rPr>
        <w:t>other than</w:t>
      </w:r>
      <w:r w:rsidR="001C7FD5">
        <w:t xml:space="preserve"> TIBH</w:t>
      </w:r>
      <w:r w:rsidR="00AF3055">
        <w:t xml:space="preserve"> In</w:t>
      </w:r>
      <w:r w:rsidR="00D953C4">
        <w:t xml:space="preserve">dustries (vendor ID 0000007024) or Austin Task (vendor ID 0000094562) </w:t>
      </w:r>
      <w:r w:rsidR="001C7FD5">
        <w:t xml:space="preserve">or no vendor </w:t>
      </w:r>
      <w:r>
        <w:t>at all</w:t>
      </w:r>
      <w:r w:rsidR="001C7FD5">
        <w:t>, and (</w:t>
      </w:r>
      <w:r>
        <w:t>4</w:t>
      </w:r>
      <w:r w:rsidR="00D527F5">
        <w:t>) a Category Code that matches</w:t>
      </w:r>
      <w:r w:rsidR="003511BC">
        <w:t xml:space="preserve"> one of the</w:t>
      </w:r>
      <w:r w:rsidR="00D527F5">
        <w:t xml:space="preserve"> Category Codes sold by TIBH, the user will </w:t>
      </w:r>
      <w:r w:rsidR="00D534BC">
        <w:t xml:space="preserve">receive a message to go to the TIBH Verify page of the requisition.  (Category Codes </w:t>
      </w:r>
      <w:r w:rsidR="00F76A92">
        <w:t xml:space="preserve">are universal </w:t>
      </w:r>
      <w:r w:rsidR="00D534BC">
        <w:t>categori</w:t>
      </w:r>
      <w:r w:rsidR="003511BC">
        <w:t xml:space="preserve">es of goods and services.)  </w:t>
      </w:r>
    </w:p>
    <w:p w:rsidR="00F55E05" w:rsidRDefault="003A334F" w:rsidP="00F55E05">
      <w:pPr>
        <w:pStyle w:val="ListParagraph"/>
        <w:ind w:left="1440"/>
      </w:pPr>
      <w:r>
        <w:rPr>
          <w:noProof/>
        </w:rPr>
        <w:drawing>
          <wp:inline distT="0" distB="0" distL="0" distR="0" wp14:anchorId="7476EFF8" wp14:editId="7CE9BACE">
            <wp:extent cx="4895238" cy="1809524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95238" cy="1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E3F" w:rsidRDefault="00F67E3F">
      <w:r>
        <w:br w:type="page"/>
      </w:r>
    </w:p>
    <w:p w:rsidR="003A334F" w:rsidRDefault="003A334F" w:rsidP="003A334F">
      <w:pPr>
        <w:pStyle w:val="ListParagraph"/>
        <w:numPr>
          <w:ilvl w:val="1"/>
          <w:numId w:val="1"/>
        </w:numPr>
      </w:pPr>
      <w:r>
        <w:lastRenderedPageBreak/>
        <w:t xml:space="preserve">The TIBH Verify page </w:t>
      </w:r>
      <w:r w:rsidR="0020345A">
        <w:t xml:space="preserve">on the purchase requisition </w:t>
      </w:r>
      <w:r>
        <w:t>has a link to the TIBH website where the user can determine if TIBH sells the exact same good or service being purchased.</w:t>
      </w:r>
    </w:p>
    <w:p w:rsidR="003A334F" w:rsidRDefault="003A334F" w:rsidP="00F55E05">
      <w:pPr>
        <w:pStyle w:val="ListParagraph"/>
        <w:ind w:left="1440"/>
      </w:pPr>
      <w:r>
        <w:rPr>
          <w:noProof/>
        </w:rPr>
        <w:drawing>
          <wp:inline distT="0" distB="0" distL="0" distR="0" wp14:anchorId="4214C49B" wp14:editId="448C7276">
            <wp:extent cx="5457143" cy="1790476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57143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1BC" w:rsidRDefault="003511BC" w:rsidP="00A82A32">
      <w:pPr>
        <w:pStyle w:val="ListParagraph"/>
        <w:numPr>
          <w:ilvl w:val="1"/>
          <w:numId w:val="1"/>
        </w:numPr>
      </w:pPr>
      <w:r>
        <w:t xml:space="preserve">The user returns to the TIBH Verify page </w:t>
      </w:r>
      <w:r w:rsidR="00A164F7">
        <w:t xml:space="preserve">of the requisition </w:t>
      </w:r>
      <w:r>
        <w:t>to answer “Yes” or “No” as to whether the same good or service is available from TIBH.</w:t>
      </w:r>
    </w:p>
    <w:p w:rsidR="003511BC" w:rsidRDefault="003511BC" w:rsidP="00A82A32">
      <w:pPr>
        <w:pStyle w:val="ListParagraph"/>
        <w:numPr>
          <w:ilvl w:val="1"/>
          <w:numId w:val="1"/>
        </w:numPr>
      </w:pPr>
      <w:r>
        <w:t>If “No” is answered, the user clicks the “Save” button to save their answer and no further action is required.</w:t>
      </w:r>
    </w:p>
    <w:p w:rsidR="00A82A32" w:rsidRDefault="003511BC" w:rsidP="00A82A32">
      <w:pPr>
        <w:pStyle w:val="ListParagraph"/>
        <w:numPr>
          <w:ilvl w:val="1"/>
          <w:numId w:val="1"/>
        </w:numPr>
      </w:pPr>
      <w:r>
        <w:t>If “Yes” is answered, the user</w:t>
      </w:r>
      <w:r w:rsidR="0032477D">
        <w:t xml:space="preserve"> can either</w:t>
      </w:r>
      <w:r w:rsidR="00967666">
        <w:t xml:space="preserve"> (1)</w:t>
      </w:r>
      <w:r w:rsidR="0032477D">
        <w:t xml:space="preserve"> change the vendor on the requisition to TIBH </w:t>
      </w:r>
      <w:r w:rsidR="003A334F">
        <w:t>Industries (vendor ID 0000007024)</w:t>
      </w:r>
      <w:r w:rsidR="00D953C4">
        <w:t xml:space="preserve">, Austin Task </w:t>
      </w:r>
      <w:r w:rsidR="00D953C4">
        <w:t>(vendor ID 0000094562)</w:t>
      </w:r>
      <w:r w:rsidR="00D953C4">
        <w:t>, or another TIBH-certified rehabilitation center</w:t>
      </w:r>
      <w:r w:rsidR="003A334F">
        <w:t xml:space="preserve"> </w:t>
      </w:r>
      <w:r w:rsidR="0032477D">
        <w:t xml:space="preserve">or </w:t>
      </w:r>
      <w:r w:rsidR="00F55E05">
        <w:t xml:space="preserve">(2) </w:t>
      </w:r>
      <w:r>
        <w:t xml:space="preserve">select </w:t>
      </w:r>
      <w:r w:rsidRPr="00A164F7">
        <w:rPr>
          <w:u w:val="single"/>
        </w:rPr>
        <w:t>one or more</w:t>
      </w:r>
      <w:r>
        <w:t xml:space="preserve"> </w:t>
      </w:r>
      <w:r w:rsidR="00A164F7">
        <w:t xml:space="preserve">of the following </w:t>
      </w:r>
      <w:r>
        <w:t xml:space="preserve">reasons why the item is not being </w:t>
      </w:r>
      <w:r w:rsidR="000E26EF">
        <w:t>purchased through TIBH</w:t>
      </w:r>
      <w:r w:rsidR="00F55E05">
        <w:t xml:space="preserve"> and click</w:t>
      </w:r>
      <w:r w:rsidR="00A164F7">
        <w:t xml:space="preserve"> “Save”:</w:t>
      </w:r>
    </w:p>
    <w:p w:rsidR="00AA69E6" w:rsidRPr="00AA69E6" w:rsidRDefault="00AA69E6" w:rsidP="00A164F7">
      <w:pPr>
        <w:pStyle w:val="ListParagraph"/>
        <w:numPr>
          <w:ilvl w:val="2"/>
          <w:numId w:val="1"/>
        </w:numPr>
        <w:spacing w:after="0" w:line="240" w:lineRule="auto"/>
        <w:contextualSpacing w:val="0"/>
      </w:pPr>
      <w:r w:rsidRPr="00AA69E6">
        <w:t>Quantity – The quantity offered by TIBH is larger or smaller than the quantity needed.</w:t>
      </w:r>
    </w:p>
    <w:p w:rsidR="00AA69E6" w:rsidRPr="00AA69E6" w:rsidRDefault="00AA69E6" w:rsidP="00A164F7">
      <w:pPr>
        <w:pStyle w:val="ListParagraph"/>
        <w:numPr>
          <w:ilvl w:val="2"/>
          <w:numId w:val="1"/>
        </w:numPr>
        <w:spacing w:after="0" w:line="240" w:lineRule="auto"/>
        <w:contextualSpacing w:val="0"/>
      </w:pPr>
      <w:r w:rsidRPr="00AA69E6">
        <w:t>Quality – The quality of the TIBH good or service does not meet the requirements of the purchase.</w:t>
      </w:r>
    </w:p>
    <w:p w:rsidR="00AA69E6" w:rsidRPr="00AA69E6" w:rsidRDefault="00AA69E6" w:rsidP="00A164F7">
      <w:pPr>
        <w:pStyle w:val="ListParagraph"/>
        <w:numPr>
          <w:ilvl w:val="2"/>
          <w:numId w:val="1"/>
        </w:numPr>
        <w:spacing w:after="0" w:line="240" w:lineRule="auto"/>
        <w:contextualSpacing w:val="0"/>
      </w:pPr>
      <w:r w:rsidRPr="00AA69E6">
        <w:t>Delivery Time – TIBH cannot provide the good or service in the timeframe needed.</w:t>
      </w:r>
    </w:p>
    <w:p w:rsidR="00AA69E6" w:rsidRPr="00AA69E6" w:rsidRDefault="00AA69E6" w:rsidP="00A164F7">
      <w:pPr>
        <w:pStyle w:val="ListParagraph"/>
        <w:numPr>
          <w:ilvl w:val="2"/>
          <w:numId w:val="1"/>
        </w:numPr>
        <w:spacing w:after="0" w:line="240" w:lineRule="auto"/>
        <w:contextualSpacing w:val="0"/>
      </w:pPr>
      <w:r>
        <w:t xml:space="preserve">Life Cycle Cost - </w:t>
      </w:r>
      <w:r w:rsidRPr="00AA69E6">
        <w:t>It is more efficient to use an existing UH System contract than TIBH.</w:t>
      </w:r>
    </w:p>
    <w:p w:rsidR="00AA69E6" w:rsidRDefault="00AA69E6" w:rsidP="00A164F7">
      <w:pPr>
        <w:pStyle w:val="ListParagraph"/>
        <w:numPr>
          <w:ilvl w:val="2"/>
          <w:numId w:val="1"/>
        </w:numPr>
      </w:pPr>
      <w:r w:rsidRPr="00AA69E6">
        <w:t>Testing/Inspection – The TIBH good or service failed testing or inspection or cannot be tested or inspected.</w:t>
      </w:r>
    </w:p>
    <w:p w:rsidR="00A575F3" w:rsidRDefault="00A575F3" w:rsidP="00AA69E6">
      <w:pPr>
        <w:pStyle w:val="ListParagraph"/>
        <w:numPr>
          <w:ilvl w:val="1"/>
          <w:numId w:val="1"/>
        </w:numPr>
      </w:pPr>
      <w:r>
        <w:t>Note that the price of the good or service is not a justifiable reason for choosing another vendor.</w:t>
      </w:r>
    </w:p>
    <w:p w:rsidR="00AA69E6" w:rsidRDefault="00A164F7" w:rsidP="00AA69E6">
      <w:pPr>
        <w:pStyle w:val="ListParagraph"/>
        <w:numPr>
          <w:ilvl w:val="1"/>
          <w:numId w:val="1"/>
        </w:numPr>
      </w:pPr>
      <w:r>
        <w:t>The identity of the user and date and time of the last update is recorded on the TIBH Verify page.</w:t>
      </w:r>
    </w:p>
    <w:p w:rsidR="00A164F7" w:rsidRDefault="00A164F7" w:rsidP="00A164F7">
      <w:pPr>
        <w:pStyle w:val="ListParagraph"/>
        <w:numPr>
          <w:ilvl w:val="0"/>
          <w:numId w:val="1"/>
        </w:numPr>
      </w:pPr>
      <w:r>
        <w:t>Who completes the monthly report to the Comptroller of goods and services not purchased from TIBH and how is the information compiled?</w:t>
      </w:r>
    </w:p>
    <w:p w:rsidR="00A164F7" w:rsidRDefault="00A164F7" w:rsidP="00A164F7">
      <w:pPr>
        <w:pStyle w:val="ListParagraph"/>
        <w:numPr>
          <w:ilvl w:val="1"/>
          <w:numId w:val="1"/>
        </w:numPr>
      </w:pPr>
      <w:r>
        <w:t xml:space="preserve">Each </w:t>
      </w:r>
      <w:r w:rsidR="008C5DC6">
        <w:t xml:space="preserve">UHS </w:t>
      </w:r>
      <w:r>
        <w:t>component</w:t>
      </w:r>
      <w:r w:rsidR="008C5DC6">
        <w:t xml:space="preserve"> designates a State Use Program Coordinator (usually in the Purchasing Department) to complete the monthly report.</w:t>
      </w:r>
    </w:p>
    <w:p w:rsidR="008C5DC6" w:rsidRDefault="008C5DC6" w:rsidP="008C5DC6">
      <w:pPr>
        <w:pStyle w:val="ListParagraph"/>
        <w:numPr>
          <w:ilvl w:val="1"/>
          <w:numId w:val="1"/>
        </w:numPr>
      </w:pPr>
      <w:r>
        <w:t xml:space="preserve">The Coordinator runs a query to retrieve information for the monthly exception report based on responses entered on the TIBH Verify page of requisitions </w:t>
      </w:r>
      <w:r w:rsidR="00F76A92">
        <w:t xml:space="preserve">created </w:t>
      </w:r>
      <w:r>
        <w:t>during the previous month.</w:t>
      </w:r>
    </w:p>
    <w:p w:rsidR="00967666" w:rsidRDefault="00967666" w:rsidP="00967666">
      <w:pPr>
        <w:pStyle w:val="ListParagraph"/>
        <w:numPr>
          <w:ilvl w:val="1"/>
          <w:numId w:val="1"/>
        </w:numPr>
      </w:pPr>
      <w:r>
        <w:lastRenderedPageBreak/>
        <w:t>UHS components do monthly State Use Program exception reporting based on a sampling of purchases (only using purchase requisitions), rather than on all purchases, as allowed by Human Resources Code 122.0095(b).</w:t>
      </w:r>
    </w:p>
    <w:p w:rsidR="008C5DC6" w:rsidRDefault="008C5DC6" w:rsidP="008C5DC6">
      <w:pPr>
        <w:pStyle w:val="ListParagraph"/>
        <w:numPr>
          <w:ilvl w:val="0"/>
          <w:numId w:val="1"/>
        </w:numPr>
      </w:pPr>
      <w:r>
        <w:t>What</w:t>
      </w:r>
      <w:r w:rsidR="00967666">
        <w:t xml:space="preserve"> are the requirements for state fund purchases </w:t>
      </w:r>
      <w:r w:rsidR="0093402F">
        <w:t>made on</w:t>
      </w:r>
      <w:r>
        <w:t xml:space="preserve"> regular vouchers and P-Cards</w:t>
      </w:r>
      <w:r w:rsidR="0093402F">
        <w:t>, instead of on requisitions</w:t>
      </w:r>
      <w:r>
        <w:t>?</w:t>
      </w:r>
    </w:p>
    <w:p w:rsidR="0093402F" w:rsidRDefault="008C5DC6" w:rsidP="008C5DC6">
      <w:pPr>
        <w:pStyle w:val="ListParagraph"/>
        <w:numPr>
          <w:ilvl w:val="1"/>
          <w:numId w:val="1"/>
        </w:numPr>
      </w:pPr>
      <w:r>
        <w:t xml:space="preserve">Employees who make </w:t>
      </w:r>
      <w:r w:rsidR="00967666">
        <w:t xml:space="preserve">state fund </w:t>
      </w:r>
      <w:r>
        <w:t xml:space="preserve">purchases with a P-Card or voucher are responsible for verifying that TIBH does not sell the good or service before making their purchase.  </w:t>
      </w:r>
    </w:p>
    <w:p w:rsidR="008C5DC6" w:rsidRDefault="00F76A92" w:rsidP="008C5DC6">
      <w:pPr>
        <w:pStyle w:val="ListParagraph"/>
        <w:numPr>
          <w:ilvl w:val="1"/>
          <w:numId w:val="1"/>
        </w:numPr>
      </w:pPr>
      <w:r>
        <w:t xml:space="preserve">If TIBH </w:t>
      </w:r>
      <w:r w:rsidR="008C5DC6">
        <w:t>sell</w:t>
      </w:r>
      <w:r>
        <w:t>s</w:t>
      </w:r>
      <w:r w:rsidR="008C5DC6">
        <w:t xml:space="preserve"> the </w:t>
      </w:r>
      <w:r>
        <w:t xml:space="preserve">same </w:t>
      </w:r>
      <w:r w:rsidR="008C5DC6">
        <w:t>good or service</w:t>
      </w:r>
      <w:r>
        <w:t xml:space="preserve"> to be purchased</w:t>
      </w:r>
      <w:r w:rsidR="008C5DC6">
        <w:t xml:space="preserve">, it meets the needs of the university, and can be delivered in the required timeframe, the employee </w:t>
      </w:r>
      <w:r w:rsidR="00D953C4">
        <w:t>must</w:t>
      </w:r>
      <w:r w:rsidR="008C5DC6">
        <w:t xml:space="preserve"> create a purchase requisition</w:t>
      </w:r>
      <w:r>
        <w:t>,</w:t>
      </w:r>
      <w:r w:rsidR="008C5DC6">
        <w:t xml:space="preserve"> instead </w:t>
      </w:r>
      <w:r>
        <w:t xml:space="preserve">of using a P-Card or voucher, </w:t>
      </w:r>
      <w:r w:rsidR="008C5DC6">
        <w:t>and order the</w:t>
      </w:r>
      <w:r w:rsidR="0093402F">
        <w:t xml:space="preserve"> good or service</w:t>
      </w:r>
      <w:r w:rsidR="008C5DC6">
        <w:t xml:space="preserve"> from TIBH</w:t>
      </w:r>
      <w:r w:rsidR="0093402F">
        <w:t xml:space="preserve"> through Purchasing.</w:t>
      </w:r>
      <w:r w:rsidR="000A5826">
        <w:t xml:space="preserve">  Therefore, a</w:t>
      </w:r>
      <w:r w:rsidR="00D953C4">
        <w:t>ll</w:t>
      </w:r>
      <w:bookmarkStart w:id="0" w:name="_GoBack"/>
      <w:bookmarkEnd w:id="0"/>
      <w:r w:rsidR="00D953C4">
        <w:t xml:space="preserve"> pur</w:t>
      </w:r>
      <w:r w:rsidR="000A5826">
        <w:t xml:space="preserve">chases from TIBH Industries, </w:t>
      </w:r>
      <w:r w:rsidR="00D953C4">
        <w:t>Austin Task</w:t>
      </w:r>
      <w:r w:rsidR="000A5826">
        <w:t>, or any other TIBH-certified rehabilitation center</w:t>
      </w:r>
      <w:r w:rsidR="00D953C4">
        <w:t xml:space="preserve"> must be on a purchase requisition,</w:t>
      </w:r>
      <w:r w:rsidR="000A5826">
        <w:t xml:space="preserve"> regardless of dollar amount.</w:t>
      </w:r>
    </w:p>
    <w:p w:rsidR="0093402F" w:rsidRDefault="0093402F" w:rsidP="008C5DC6">
      <w:pPr>
        <w:pStyle w:val="ListParagraph"/>
        <w:numPr>
          <w:ilvl w:val="1"/>
          <w:numId w:val="1"/>
        </w:numPr>
      </w:pPr>
      <w:r>
        <w:t xml:space="preserve">If TIBH sells the </w:t>
      </w:r>
      <w:r w:rsidR="0032477D">
        <w:t xml:space="preserve">same type of </w:t>
      </w:r>
      <w:r>
        <w:t>good or service</w:t>
      </w:r>
      <w:r w:rsidR="0032477D">
        <w:t xml:space="preserve"> to be purchased</w:t>
      </w:r>
      <w:r>
        <w:t>, but it does not meet the</w:t>
      </w:r>
      <w:r w:rsidR="00F76A92">
        <w:t xml:space="preserve"> university’s</w:t>
      </w:r>
      <w:r>
        <w:t xml:space="preserve"> need</w:t>
      </w:r>
      <w:r w:rsidR="00F76A92">
        <w:t>s</w:t>
      </w:r>
      <w:r>
        <w:t xml:space="preserve"> or cannot be delivered in time, the employee should complete their purchase with the non-TIBH vendor </w:t>
      </w:r>
      <w:r w:rsidR="00F76A92">
        <w:t>using</w:t>
      </w:r>
      <w:r>
        <w:t xml:space="preserve"> a voucher or P-Card.  </w:t>
      </w:r>
      <w:r w:rsidR="00F76A92">
        <w:t xml:space="preserve">The employee is not required </w:t>
      </w:r>
      <w:r>
        <w:t>to document their findings or report this to Purchasing.</w:t>
      </w:r>
    </w:p>
    <w:p w:rsidR="0093402F" w:rsidRDefault="0093402F" w:rsidP="00967666">
      <w:pPr>
        <w:pStyle w:val="ListParagraph"/>
        <w:numPr>
          <w:ilvl w:val="1"/>
          <w:numId w:val="1"/>
        </w:numPr>
      </w:pPr>
      <w:r>
        <w:t xml:space="preserve">If TIBH does not sell the </w:t>
      </w:r>
      <w:r w:rsidR="0032477D">
        <w:t xml:space="preserve">type of </w:t>
      </w:r>
      <w:r>
        <w:t>good or service</w:t>
      </w:r>
      <w:r w:rsidR="00F76A92">
        <w:t xml:space="preserve"> </w:t>
      </w:r>
      <w:r w:rsidR="00967666">
        <w:t>to be purchased</w:t>
      </w:r>
      <w:r>
        <w:t>, the employee should complete their purchase with the non-TIBH vendor with a voucher or P-Card.  There is no requirement to document their findings or report this to Purchasing</w:t>
      </w:r>
      <w:r w:rsidR="00967666">
        <w:t>.</w:t>
      </w:r>
    </w:p>
    <w:p w:rsidR="00F67E3F" w:rsidRDefault="00F67E3F" w:rsidP="00F67E3F">
      <w:pPr>
        <w:pStyle w:val="ListParagraph"/>
        <w:numPr>
          <w:ilvl w:val="0"/>
          <w:numId w:val="1"/>
        </w:numPr>
      </w:pPr>
      <w:r>
        <w:t>Who do I contact if I have questions about the State Use Program?</w:t>
      </w:r>
    </w:p>
    <w:p w:rsidR="00F67E3F" w:rsidRDefault="00F67E3F" w:rsidP="00F67E3F">
      <w:pPr>
        <w:pStyle w:val="ListParagraph"/>
        <w:numPr>
          <w:ilvl w:val="1"/>
          <w:numId w:val="1"/>
        </w:numPr>
      </w:pPr>
      <w:r>
        <w:t>UH: Jack Tenner, 713-743-5671</w:t>
      </w:r>
    </w:p>
    <w:p w:rsidR="00F67E3F" w:rsidRDefault="00F67E3F" w:rsidP="00F67E3F">
      <w:pPr>
        <w:pStyle w:val="ListParagraph"/>
        <w:numPr>
          <w:ilvl w:val="1"/>
          <w:numId w:val="1"/>
        </w:numPr>
      </w:pPr>
      <w:r>
        <w:t>UHCL: Jeanne Cumpian, 281-283-2150</w:t>
      </w:r>
    </w:p>
    <w:p w:rsidR="00F67E3F" w:rsidRDefault="00F67E3F" w:rsidP="00F67E3F">
      <w:pPr>
        <w:pStyle w:val="ListParagraph"/>
        <w:numPr>
          <w:ilvl w:val="1"/>
          <w:numId w:val="1"/>
        </w:numPr>
      </w:pPr>
      <w:r>
        <w:t>UHD: Lorena Sanchez, 713-221-8561</w:t>
      </w:r>
    </w:p>
    <w:p w:rsidR="00F67E3F" w:rsidRPr="00AA69E6" w:rsidRDefault="00F67E3F" w:rsidP="00F67E3F">
      <w:pPr>
        <w:pStyle w:val="ListParagraph"/>
        <w:numPr>
          <w:ilvl w:val="1"/>
          <w:numId w:val="1"/>
        </w:numPr>
      </w:pPr>
      <w:r>
        <w:t>UHV: Shawn Clark, 361-570-4367</w:t>
      </w:r>
    </w:p>
    <w:sectPr w:rsidR="00F67E3F" w:rsidRPr="00AA69E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956" w:rsidRDefault="00307956" w:rsidP="009A1C97">
      <w:pPr>
        <w:spacing w:after="0" w:line="240" w:lineRule="auto"/>
      </w:pPr>
      <w:r>
        <w:separator/>
      </w:r>
    </w:p>
  </w:endnote>
  <w:endnote w:type="continuationSeparator" w:id="0">
    <w:p w:rsidR="00307956" w:rsidRDefault="00307956" w:rsidP="009A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3C4" w:rsidRDefault="00D953C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Revised 9-1-16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0A5826" w:rsidRPr="000A5826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A334F" w:rsidRDefault="003A33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956" w:rsidRDefault="00307956" w:rsidP="009A1C97">
      <w:pPr>
        <w:spacing w:after="0" w:line="240" w:lineRule="auto"/>
      </w:pPr>
      <w:r>
        <w:separator/>
      </w:r>
    </w:p>
  </w:footnote>
  <w:footnote w:type="continuationSeparator" w:id="0">
    <w:p w:rsidR="00307956" w:rsidRDefault="00307956" w:rsidP="009A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97" w:rsidRPr="009A1C97" w:rsidRDefault="009A1C97" w:rsidP="009A1C97">
    <w:pPr>
      <w:jc w:val="center"/>
      <w:rPr>
        <w:sz w:val="32"/>
        <w:szCs w:val="32"/>
      </w:rPr>
    </w:pPr>
    <w:r w:rsidRPr="009A1C97">
      <w:rPr>
        <w:sz w:val="32"/>
        <w:szCs w:val="32"/>
      </w:rPr>
      <w:t>State Use Program FAQs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E03"/>
    <w:multiLevelType w:val="hybridMultilevel"/>
    <w:tmpl w:val="D506E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90F6C"/>
    <w:multiLevelType w:val="hybridMultilevel"/>
    <w:tmpl w:val="C4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97"/>
    <w:rsid w:val="000A5826"/>
    <w:rsid w:val="000D39F8"/>
    <w:rsid w:val="000E26EF"/>
    <w:rsid w:val="001C7FD5"/>
    <w:rsid w:val="0020345A"/>
    <w:rsid w:val="002468DE"/>
    <w:rsid w:val="00307956"/>
    <w:rsid w:val="0032477D"/>
    <w:rsid w:val="003511BC"/>
    <w:rsid w:val="003A334F"/>
    <w:rsid w:val="0048186C"/>
    <w:rsid w:val="00566484"/>
    <w:rsid w:val="005C1DF5"/>
    <w:rsid w:val="00760113"/>
    <w:rsid w:val="008C5DC6"/>
    <w:rsid w:val="0093402F"/>
    <w:rsid w:val="00967666"/>
    <w:rsid w:val="00970A23"/>
    <w:rsid w:val="009A1C97"/>
    <w:rsid w:val="009F1514"/>
    <w:rsid w:val="00A164F7"/>
    <w:rsid w:val="00A575F3"/>
    <w:rsid w:val="00A82A32"/>
    <w:rsid w:val="00AA69E6"/>
    <w:rsid w:val="00AF3055"/>
    <w:rsid w:val="00BD3B3E"/>
    <w:rsid w:val="00D527F5"/>
    <w:rsid w:val="00D534BC"/>
    <w:rsid w:val="00D77D2D"/>
    <w:rsid w:val="00D953C4"/>
    <w:rsid w:val="00F55E05"/>
    <w:rsid w:val="00F67E3F"/>
    <w:rsid w:val="00F7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C97"/>
  </w:style>
  <w:style w:type="paragraph" w:styleId="Footer">
    <w:name w:val="footer"/>
    <w:basedOn w:val="Normal"/>
    <w:link w:val="FooterChar"/>
    <w:uiPriority w:val="99"/>
    <w:unhideWhenUsed/>
    <w:rsid w:val="009A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C97"/>
  </w:style>
  <w:style w:type="paragraph" w:styleId="ListParagraph">
    <w:name w:val="List Paragraph"/>
    <w:basedOn w:val="Normal"/>
    <w:uiPriority w:val="34"/>
    <w:qFormat/>
    <w:rsid w:val="009A1C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D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4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034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C97"/>
  </w:style>
  <w:style w:type="paragraph" w:styleId="Footer">
    <w:name w:val="footer"/>
    <w:basedOn w:val="Normal"/>
    <w:link w:val="FooterChar"/>
    <w:uiPriority w:val="99"/>
    <w:unhideWhenUsed/>
    <w:rsid w:val="009A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C97"/>
  </w:style>
  <w:style w:type="paragraph" w:styleId="ListParagraph">
    <w:name w:val="List Paragraph"/>
    <w:basedOn w:val="Normal"/>
    <w:uiPriority w:val="34"/>
    <w:qFormat/>
    <w:rsid w:val="009A1C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D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4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034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7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utes.legis.state.tx.us/Docs/HR/htm/HR.122.ht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ibh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xreg.sos.state.tx.us/public/readtac$ext.ViewTAC?tac_view=3&amp;ti=40&amp;pt=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Glisson, Mike</dc:creator>
  <cp:lastModifiedBy>Glisson, Mike</cp:lastModifiedBy>
  <cp:revision>13</cp:revision>
  <dcterms:created xsi:type="dcterms:W3CDTF">2015-08-31T16:26:00Z</dcterms:created>
  <dcterms:modified xsi:type="dcterms:W3CDTF">2016-09-01T21:26:00Z</dcterms:modified>
</cp:coreProperties>
</file>